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168" w:lineRule="atLeas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70"/>
        <w:gridCol w:w="9158"/>
      </w:tblGrid>
      <w:tr>
        <w:tc>
          <w:tcPr>
            <w:tcW w:type="dxa" w:w="17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17"/>
              </w:rPr>
            </w:pPr>
          </w:p>
        </w:tc>
        <w:tc>
          <w:tcPr>
            <w:tcW w:type="dxa" w:w="9158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tblStyle w:val="Style_1"/>
              <w:tblW w:type="auto" w:w="0"/>
              <w:tblLayout w:type="fixed"/>
              <w:tblCellMar>
                <w:top w:type="dxa" w:w="15"/>
                <w:left w:type="dxa" w:w="15"/>
                <w:bottom w:type="dxa" w:w="15"/>
                <w:right w:type="dxa" w:w="15"/>
              </w:tblCellMar>
            </w:tblPr>
            <w:tblGrid>
              <w:gridCol w:w="9158"/>
            </w:tblGrid>
            <w:tr>
              <w:tc>
                <w:tcPr>
                  <w:tcW w:type="dxa" w:w="9158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 w14:paraId="04000000">
                  <w:pPr>
                    <w:spacing w:after="0" w:before="0"/>
                    <w:ind w:firstLine="0" w:left="0" w:right="0"/>
                    <w:jc w:val="both"/>
                    <w:rPr>
                      <w:rFonts w:ascii="Times New Roman" w:hAnsi="Times New Roman"/>
                      <w:b w:val="0"/>
                      <w:sz w:val="28"/>
                    </w:rPr>
                  </w:pPr>
                  <w:r>
                    <w:rPr>
                      <w:rFonts w:ascii="Times New Roman" w:hAnsi="Times New Roman"/>
                      <w:b w:val="1"/>
                      <w:sz w:val="28"/>
                    </w:rPr>
                    <w:t xml:space="preserve">       Росреестр сообщает о порядке уплаты госпошлины за государственную регистрацию прав юрлица на недвижимое имущество при реорганизации</w:t>
                  </w:r>
                </w:p>
              </w:tc>
            </w:tr>
          </w:tbl>
          <w:p w14:paraId="05000000"/>
        </w:tc>
      </w:tr>
    </w:tbl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1" w:name="_GoBack"/>
      <w:bookmarkEnd w:id="1"/>
    </w:p>
    <w:tbl>
      <w:tblPr>
        <w:tblStyle w:val="Style_1"/>
        <w:tblW w:type="auto" w:w="0"/>
        <w:tblLayout w:type="fixed"/>
      </w:tblPr>
      <w:tblGrid>
        <w:gridCol w:w="200"/>
        <w:gridCol w:w="9175"/>
      </w:tblGrid>
      <w:tr>
        <w:trPr>
          <w:trHeight w:hRule="atLeast" w:val="200"/>
        </w:trPr>
        <w:tc>
          <w:tcPr>
            <w:tcW w:type="dxa" w:w="200"/>
            <w:vAlign w:val="top"/>
          </w:tcPr>
          <w:p w14:paraId="07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tcW w:type="dxa" w:w="9175"/>
            <w:vAlign w:val="center"/>
          </w:tcPr>
          <w:p w14:paraId="08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09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4"/>
        </w:rPr>
        <w:t xml:space="preserve">  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  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Приказом 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Росреестра от 18.03.2026 N 14-2722-ЛЛ/26 Об уплате государственной пошлины за государственную регистрацию прав юридического лица на недвижимое имущество, перешедшее в результате реорганизации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Го</w:t>
      </w:r>
      <w:r>
        <w:rPr>
          <w:rFonts w:ascii="Times New Roman" w:hAnsi="Times New Roman"/>
          <w:b w:val="0"/>
          <w:sz w:val="28"/>
        </w:rPr>
        <w:t>сударственная пошлина за регистрацию прав на недвижимое имущество, перешедших к юрлицу в результате реорганизации (за исключением реорганизации в форме преобразования), уплачивается в размере, установленном подпунктом 22 пункта 1 статьи 333.33 НК (за исключением случаев, предусмотренных подпунктами 21, 22.1, 25, 26, 26.1, 27.2, 29 - 31 пункта 1 статьи 333.33 НК).</w:t>
      </w:r>
    </w:p>
    <w:p w14:paraId="0A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tbl>
      <w:tblPr>
        <w:tblStyle w:val="Style_1"/>
        <w:tblW w:type="auto" w:w="0"/>
        <w:tblLayout w:type="fixed"/>
      </w:tblPr>
      <w:tblGrid>
        <w:gridCol w:w="200"/>
        <w:gridCol w:w="200"/>
      </w:tblGrid>
      <w:tr>
        <w:tc>
          <w:tcPr>
            <w:tcW w:type="dxa" w:w="200"/>
            <w:vAlign w:val="top"/>
          </w:tcPr>
          <w:p w14:paraId="0B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00"/>
            <w:vAlign w:val="center"/>
          </w:tcPr>
          <w:p w14:paraId="0C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0D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    С.В. Новик</w:t>
      </w:r>
    </w:p>
    <w:p w14:paraId="0E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F000000">
      <w:pPr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2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2"/>
    <w:link w:val="Style_1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2"/>
    <w:link w:val="Style_1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2026-05-21T15:40:58Z</dcterms:modified>
</cp:coreProperties>
</file>